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de651b7e3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  <w:headerReference w:type="default" r:id="Rb7e4e67e61d643b1"/>
      <w:headerReference w:type="even" r:id="R791325edada44763"/>
      <w:headerReference w:type="first" r:id="Rb8aaac94b3e342ad"/>
      <w:titlePg/>
    </w:sectPr>
    <w:sectPr/>
    <w:sectPr w:rsidR="003E25F4" w:rsidSect="00FC3028">
      <w:pgSz w:w="11906" w:h="16838"/>
      <w:pgMar w:top="0" w:right="1440" w:bottom="1440" w:left="1440" w:header="708" w:footer="708" w:gutter="0"/>
      <w:cols w:space="708"/>
      <w:docGrid w:linePitch="360"/>
    </w:sectPr>
    <w:p>
      <w:pPr/>
    </w:p>
    <w:tbl>
      <w:tblPr>
        <w:tblStyle w:val="TableNormal"/>
        <w:tblW w:w="5000" w:type="pct"/>
        <w:tblLook w:val="04A0"/>
      </w:tblPr>
      <w:tblGrid>
        <w:gridCol w:w="2310"/>
      </w:tblGrid>
      <w:tr>
        <w:tc>
          <w:tcPr>
            <w:tcW w:w="2310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b/>
                <w:sz w:val="28"/>
                <w:szCs w:val="28"/>
              </w:rPr>
              <w:t>П А С П О Р Т</w:t>
            </w:r>
          </w:p>
        </w:tc>
      </w:tr>
      <w:tr>
        <w:tc>
          <w:tcPr>
            <w:tcW w:w="2310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b/>
                <w:sz w:val="28"/>
                <w:szCs w:val="28"/>
              </w:rPr>
              <w:t>государственной программы Российской Федерации «Доступная среда»</w:t>
            </w:r>
          </w:p>
        </w:tc>
      </w:tr>
    </w:tbl>
    <w:p>
      <w:pPr/>
    </w:p>
    <w:p>
      <w:pPr/>
      <w:r>
        <w:rPr>
          <w:lang w:val="ru-RU"/>
        </w:rPr>
        <w:br/>
      </w:r>
    </w:p>
    <w:p>
      <w:pPr/>
      <w:r>
        <w:rPr>
          <w:lang w:val="ru-RU"/>
        </w:rPr>
        <w:br/>
      </w:r>
    </w:p>
    <w:p>
      <w:pPr/>
    </w:p>
    <w:tbl>
      <w:tblPr>
        <w:tblStyle w:val="76623416-8d92-4dd2-b6b3-c4681b56ce67"/>
        <w:tblW w:w="0" w:type="pct"/>
        <w:tblLook w:val="04A0"/>
      </w:tblPr>
      <w:tblGrid>
        <w:gridCol w:w="1428" w:type="pct"/>
        <w:gridCol w:w="1785" w:type="pct"/>
        <w:gridCol w:w="1787" w:type="pct"/>
      </w:tblGrid>
      <w:tr>
        <w:tc>
          <w:tcPr>
            <w:tcW w:w="1428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1785" w:type="pct"/>
            <w:gridSpan w:val="2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Министерство труда и социальной защиты Российской Федерации</w:t>
            </w:r>
          </w:p>
        </w:tc>
      </w:tr>
      <w:tr>
        <w:tc>
          <w:tcPr>
            <w:tcW w:w="1428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1785" w:type="pct"/>
            <w:gridSpan w:val="2"/>
          </w:tcPr>
          <w:p/>
        </w:tc>
      </w:tr>
      <w:tr>
        <w:tc>
          <w:tcPr>
            <w:tcW w:w="1428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1785" w:type="pct"/>
            <w:gridSpan w:val="2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Министерство науки и высшего образования Российской Федерации,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Министерство просвещения Российской Федерации,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Министерство промышленности и торговли Российской Федерации,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Министерство культуры Российской Федерации,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Министерство здравоохранения Российской Федерации,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Министерство строительства и жилищно-коммунального хозяйства Российской Федерации,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Министерство цифрового развития, связи и массовых коммуникаций Российской Федерации,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Российской Федерации,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Министерство финансов Российской Федерации,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Министерство транспорта Российской Федерации,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Федеральное агентство по печати и массовым коммуникациям,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Федеральная служба государственной статистики,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Федеральное агентство по техническому регулированию и метрологии,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Федеральное медико-биологическое агентство,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Пенсионный фонд Российской Федерации,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Фонд социального страхования Российской Федерации,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Министерство спорта Российской Федерации</w:t>
            </w:r>
          </w:p>
        </w:tc>
      </w:tr>
      <w:tr>
        <w:tc>
          <w:tcPr>
            <w:tcW w:w="1428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b/>
                <w:sz w:val="28"/>
                <w:szCs w:val="28"/>
              </w:rPr>
              <w:t>Подпрограммы программы, в том числе федеральные целевые программы</w:t>
            </w:r>
          </w:p>
        </w:tc>
        <w:tc>
          <w:tcPr>
            <w:tcW w:w="1785" w:type="pct"/>
            <w:gridSpan w:val="2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Подпрограмма 1.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(Министерство труда и социальной защиты Российской Федерации),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Подпрограмма 2. Совершенствование системы комплексной реабилитации и абилитации инвалидов (Министерство труда и социальной защиты Российской Федерации),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Подпрограмма 3. Совершенствование государственной системы медико-социальной экспертизы (Министерство труда и социальной защиты Российской Федерации)</w:t>
            </w:r>
          </w:p>
        </w:tc>
      </w:tr>
      <w:tr>
        <w:tc>
          <w:tcPr>
            <w:tcW w:w="1428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1785" w:type="pct"/>
            <w:gridSpan w:val="2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1.Создание правовых, экономических и институциональных условий, способствующих интеграции инвалидов в общество и повышению уровня их жизни.</w:t>
            </w:r>
          </w:p>
        </w:tc>
      </w:tr>
      <w:tr>
        <w:tc>
          <w:tcPr>
            <w:tcW w:w="1428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1785" w:type="pct"/>
            <w:gridSpan w:val="2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1.Обеспечение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населения.</w:t>
            </w:r>
            <w:r>
              <w:rPr>
                <w:lang w:val="ru-RU"/>
              </w:rPr>
              <w:t>
</w:t>
            </w:r>
            <w:r>
              <w:rPr>
                <w:lang w:val="ru-RU"/>
              </w:rPr>
              <w:br/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2.Обеспечение равного доступа инвалидов к реабилитационным и абилитационным услугам, включая обеспечение равного доступа к профессиональному развитию и трудоустройству инвалидов.</w:t>
            </w:r>
            <w:r>
              <w:rPr>
                <w:lang w:val="ru-RU"/>
              </w:rPr>
              <w:t>
</w:t>
            </w:r>
            <w:r>
              <w:rPr>
                <w:lang w:val="ru-RU"/>
              </w:rPr>
              <w:br/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3.Обеспечение объективности и прозрачности деятельности учреждений медико-социальной экспертизы..</w:t>
            </w:r>
          </w:p>
        </w:tc>
      </w:tr>
      <w:tr>
        <w:tc>
          <w:tcPr>
            <w:tcW w:w="1428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b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1785" w:type="pct"/>
            <w:gridSpan w:val="2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объектов, процент;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Доля инвалидов, положительно оценивающих отношение населения к проблемам инвалидов, в общей численности опрошенных инвалидов, процент;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Доля субъектов Российской Федерации, сформировавших систему комплексной реабилитации и абилитации инвалидов, в том числе детей-инвалидов, соответствующую типовой программе субъекта Российской Федерации, в общем количестве субъектов Российской Федерации, процент;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Доля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(взрослые), процент;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Доля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(дети), процент;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Доля занятых инвалидов трудоспособного возраста в общей численности инвалидов трудоспособного возраста в Российской Федерации, процент</w:t>
            </w:r>
          </w:p>
        </w:tc>
      </w:tr>
      <w:tr>
        <w:tc>
          <w:tcPr>
            <w:tcW w:w="1428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1785" w:type="pct"/>
            <w:gridSpan w:val="2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I этап: 01.01.2011 — 31.12.2012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II этап: 01.01.2013 — 31.12.2015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III этап: 01.01.2016 — 31.12.2018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IV этап: 01.01.2019 — 31.12.2020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V этап: 01.01.2021 — 31.12.2025</w:t>
            </w:r>
          </w:p>
        </w:tc>
      </w:tr>
      <w:tr>
        <w:tc>
          <w:tcPr>
            <w:tcW w:w="1428" w:type="pct"/>
            <w:vAlign w:val="top"/>
            <w:vMerge w:val="restart"/>
          </w:tcPr>
          <w:p>
            <w:pPr/>
            <w:r>
              <w:rPr>
                <w:lang w:val="ru-RU"/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1785" w:type="pct"/>
            <w:gridSpan w:val="2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государственной программы из средств федерального бюджета и бюджетов государственных внебюджетных фондов составляет - 707 726 904,2 тыс. руб.;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государственной программы по годам составляет (тыс. руб.):</w:t>
            </w:r>
          </w:p>
        </w:tc>
      </w:tr>
      <w:tr>
        <w:tc>
          <w:tcPr>
            <w:tcW w:w="1428" w:type="pct"/>
            <w:vMerge/>
          </w:tcPr>
          <w:p>
            <w:pPr/>
          </w:p>
        </w:tc>
        <w:tc>
          <w:tcPr>
            <w:tcW w:w="1785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87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Федеральный бюджет и бюджеты государственных внебюджетных фондов</w:t>
            </w:r>
          </w:p>
        </w:tc>
      </w:tr>
      <w:tr>
        <w:tc>
          <w:tcPr>
            <w:tcW w:w="1428" w:type="pct"/>
            <w:vMerge/>
          </w:tcPr>
          <w:p>
            <w:pPr/>
          </w:p>
        </w:tc>
        <w:tc>
          <w:tcPr>
            <w:tcW w:w="1785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87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31 748 838,0</w:t>
            </w:r>
          </w:p>
        </w:tc>
      </w:tr>
      <w:tr>
        <w:tc>
          <w:tcPr>
            <w:tcW w:w="1428" w:type="pct"/>
            <w:vMerge/>
          </w:tcPr>
          <w:p>
            <w:pPr/>
          </w:p>
        </w:tc>
        <w:tc>
          <w:tcPr>
            <w:tcW w:w="1785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787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28 421 796,3</w:t>
            </w:r>
          </w:p>
        </w:tc>
      </w:tr>
      <w:tr>
        <w:tc>
          <w:tcPr>
            <w:tcW w:w="1428" w:type="pct"/>
            <w:vMerge/>
          </w:tcPr>
          <w:p>
            <w:pPr/>
          </w:p>
        </w:tc>
        <w:tc>
          <w:tcPr>
            <w:tcW w:w="1785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87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32 287 206,4</w:t>
            </w:r>
          </w:p>
        </w:tc>
      </w:tr>
      <w:tr>
        <w:tc>
          <w:tcPr>
            <w:tcW w:w="1428" w:type="pct"/>
            <w:vMerge/>
          </w:tcPr>
          <w:p>
            <w:pPr/>
          </w:p>
        </w:tc>
        <w:tc>
          <w:tcPr>
            <w:tcW w:w="1785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787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30 808 612,6</w:t>
            </w:r>
          </w:p>
        </w:tc>
      </w:tr>
      <w:tr>
        <w:tc>
          <w:tcPr>
            <w:tcW w:w="1428" w:type="pct"/>
            <w:vMerge/>
          </w:tcPr>
          <w:p>
            <w:pPr/>
          </w:p>
        </w:tc>
        <w:tc>
          <w:tcPr>
            <w:tcW w:w="1785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87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41 087 160,8</w:t>
            </w:r>
          </w:p>
        </w:tc>
      </w:tr>
      <w:tr>
        <w:tc>
          <w:tcPr>
            <w:tcW w:w="1428" w:type="pct"/>
            <w:vMerge/>
          </w:tcPr>
          <w:p>
            <w:pPr/>
          </w:p>
        </w:tc>
        <w:tc>
          <w:tcPr>
            <w:tcW w:w="1785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787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38 553 312,2</w:t>
            </w:r>
          </w:p>
        </w:tc>
      </w:tr>
      <w:tr>
        <w:tc>
          <w:tcPr>
            <w:tcW w:w="1428" w:type="pct"/>
            <w:vMerge/>
          </w:tcPr>
          <w:p>
            <w:pPr/>
          </w:p>
        </w:tc>
        <w:tc>
          <w:tcPr>
            <w:tcW w:w="1785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787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47 448 769,1</w:t>
            </w:r>
          </w:p>
        </w:tc>
      </w:tr>
      <w:tr>
        <w:tc>
          <w:tcPr>
            <w:tcW w:w="1428" w:type="pct"/>
            <w:vMerge/>
          </w:tcPr>
          <w:p>
            <w:pPr/>
          </w:p>
        </w:tc>
        <w:tc>
          <w:tcPr>
            <w:tcW w:w="1785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87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50 794 059,5</w:t>
            </w:r>
          </w:p>
        </w:tc>
      </w:tr>
      <w:tr>
        <w:tc>
          <w:tcPr>
            <w:tcW w:w="1428" w:type="pct"/>
            <w:vMerge/>
          </w:tcPr>
          <w:p>
            <w:pPr/>
          </w:p>
        </w:tc>
        <w:tc>
          <w:tcPr>
            <w:tcW w:w="1785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87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53 799 240,0</w:t>
            </w:r>
          </w:p>
        </w:tc>
      </w:tr>
      <w:tr>
        <w:tc>
          <w:tcPr>
            <w:tcW w:w="1428" w:type="pct"/>
            <w:vMerge/>
          </w:tcPr>
          <w:p>
            <w:pPr/>
          </w:p>
        </w:tc>
        <w:tc>
          <w:tcPr>
            <w:tcW w:w="1785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87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59 340 303,2</w:t>
            </w:r>
          </w:p>
        </w:tc>
      </w:tr>
      <w:tr>
        <w:tc>
          <w:tcPr>
            <w:tcW w:w="1428" w:type="pct"/>
            <w:vMerge/>
          </w:tcPr>
          <w:p>
            <w:pPr/>
          </w:p>
        </w:tc>
        <w:tc>
          <w:tcPr>
            <w:tcW w:w="1785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87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60 284 199,0</w:t>
            </w:r>
          </w:p>
        </w:tc>
      </w:tr>
      <w:tr>
        <w:tc>
          <w:tcPr>
            <w:tcW w:w="1428" w:type="pct"/>
            <w:vMerge/>
          </w:tcPr>
          <w:p>
            <w:pPr/>
          </w:p>
        </w:tc>
        <w:tc>
          <w:tcPr>
            <w:tcW w:w="1785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87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60 993 731,2</w:t>
            </w:r>
          </w:p>
        </w:tc>
      </w:tr>
      <w:tr>
        <w:tc>
          <w:tcPr>
            <w:tcW w:w="1428" w:type="pct"/>
            <w:vMerge/>
          </w:tcPr>
          <w:p>
            <w:pPr/>
          </w:p>
        </w:tc>
        <w:tc>
          <w:tcPr>
            <w:tcW w:w="1785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87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56 933 225,3</w:t>
            </w:r>
          </w:p>
        </w:tc>
      </w:tr>
      <w:tr>
        <w:tc>
          <w:tcPr>
            <w:tcW w:w="1428" w:type="pct"/>
            <w:vMerge/>
          </w:tcPr>
          <w:p>
            <w:pPr/>
          </w:p>
        </w:tc>
        <w:tc>
          <w:tcPr>
            <w:tcW w:w="1785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87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57 613 225,3</w:t>
            </w:r>
          </w:p>
        </w:tc>
      </w:tr>
      <w:tr>
        <w:tc>
          <w:tcPr>
            <w:tcW w:w="1428" w:type="pct"/>
            <w:vMerge/>
          </w:tcPr>
          <w:p>
            <w:pPr/>
          </w:p>
        </w:tc>
        <w:tc>
          <w:tcPr>
            <w:tcW w:w="1785" w:type="pct"/>
            <w:vAlign w:val="top"/>
          </w:tcPr>
          <w:p>
            <w:pPr>
              <w:jc w:val="center"/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87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57 613 225,3</w:t>
            </w:r>
          </w:p>
        </w:tc>
      </w:tr>
      <w:tr>
        <w:tc>
          <w:tcPr>
            <w:tcW w:w="1428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1785" w:type="pct"/>
            <w:gridSpan w:val="2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(до 70,7 процентов к 2025 году); увеличение доли инвалидов, положительно оценивающих отношение населения к проблемам инвалидов, в общей численности опрошенных инвалидов (до 64,9 процента к 2025 году); увеличение доли субъектов Российской Федерации, сформировавших систему комплексной реабилитации и абилитации инвалидов, в том числе детей-инвалидов, соответствующую типовой программе субъекта Российской Федерации, в общем количестве субъектов Российской Федерации (до 100 процента к 2024 году); увеличение доли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(взрослые) (до 76,9 процента к 2025 году); увеличение доли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(дети) (до 78,8 процента к 2025 году); увеличение доли занятых инвалидов трудоспособного возраста в общей численности инвалидов трудоспособного возраста в Российской Федерации (до 51,7 процентов к 2025 году)</w:t>
            </w:r>
          </w:p>
        </w:tc>
      </w:tr>
      <w:tr>
        <w:tc>
          <w:tcPr>
            <w:tcW w:w="1428" w:type="pct"/>
            <w:vAlign w:val="top"/>
          </w:tcPr>
          <w:p>
            <w:pPr/>
            <w:r>
              <w:rPr>
                <w:lang w:val="ru-RU"/>
                <w:rFonts w:ascii="Times New Roman" w:hAnsi="Times New Roman" w:cs="Times New Roman"/>
                <w:b/>
                <w:sz w:val="28"/>
                <w:szCs w:val="28"/>
              </w:rPr>
              <w:t>Объем налоговых расходов Российской Федерации в рамках реализации государственной программы</w:t>
            </w:r>
          </w:p>
        </w:tc>
        <w:tc>
          <w:tcPr>
            <w:tcW w:w="1785" w:type="pct"/>
            <w:gridSpan w:val="2"/>
          </w:tcPr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на 2011 год - 0,00 тыс. рублей;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на 2012 год - 0,00 тыс. рублей;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на 2013 год - 0,00 тыс. рублей;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на 2014 год - 0,00 тыс. рублей;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на 2015 год - 0,00 тыс. рублей;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на 2016 год - 0,00 тыс. рублей;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на 2017 год - 0,00 тыс. рублей;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на 2018 год - 0,00 тыс. рублей;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на 2019 год - 0,00 тыс. рублей;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на 2020 год - 0,00 тыс. рублей;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на 2021 год - 0,00 тыс. рублей;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на 2022 год - 0,00 тыс. рублей;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на 2023 год - 0,00 тыс. рублей;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на 2024 год - 0,00 тыс. рублей;</w:t>
            </w:r>
          </w:p>
          <w:p>
            <w:pPr/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на 2025 год - 0,00 тыс. рублей;</w:t>
            </w:r>
          </w:p>
        </w:tc>
      </w:tr>
    </w:tbl>
    <w:p>
      <w:pPr/>
    </w:p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 xmlns:w="http://schemas.openxmlformats.org/wordprocessingml/2006/main">
    <w:sdtPr>
      <w:id w:val="157571950"/>
      <w:docPartObj>
        <w:docPartGallery w:val="Page Numbers (Top of Page)"/>
        <w:docPartUnique/>
      </w:docPartObj>
    </w:sdtPr>
    <w:sdtContent>
      <w:p w:rsidR="008D2BFB" w:rsidRDefault="008D2BFB">
        <w:pPr>
          <w:pStyle w:val="Header"/>
          <w:jc w:val="center"/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> PAGE \* MERGEFORMAT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  <w:noProof/>
          </w:rPr>
          <w:rPr/>
          <w:t>2</w:t>
        </w:r>
        <w:r>
          <w:rPr>
            <w:rFonts w:cs="Times New Roman" w:ascii="Times New Roman" w:hAnsi="Times New Roman"/>
            <w:noProof/>
          </w:rPr>
          <w:rPr/>
          <w:fldChar w:fldCharType="end"/>
        </w:r>
      </w:p>
    </w:sdtContent>
  </w:sdt>
  <w:p w:rsidR="009D472B" w:rsidRDefault="009D47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76623416-8d92-4dd2-b6b3-c4681b56ce67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3089e792b4141" /><Relationship Type="http://schemas.openxmlformats.org/officeDocument/2006/relationships/numbering" Target="/word/numbering.xml" Id="Rfdf94e89bccc4b9f" /><Relationship Type="http://schemas.openxmlformats.org/officeDocument/2006/relationships/settings" Target="/word/settings.xml" Id="R53d4ee1447ac421c" /><Relationship Type="http://schemas.openxmlformats.org/officeDocument/2006/relationships/header" Target="/word/header1.xml" Id="Rb7e4e67e61d643b1" /><Relationship Type="http://schemas.openxmlformats.org/officeDocument/2006/relationships/header" Target="/word/header2.xml" Id="R791325edada44763" /><Relationship Type="http://schemas.openxmlformats.org/officeDocument/2006/relationships/header" Target="/word/header3.xml" Id="Rb8aaac94b3e342ad" /></Relationships>
</file>